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A3293D">
        <w:rPr>
          <w:b/>
          <w:szCs w:val="28"/>
        </w:rPr>
        <w:t>29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AD679C">
        <w:rPr>
          <w:b/>
          <w:szCs w:val="28"/>
        </w:rPr>
        <w:t>ноября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A3293D">
        <w:rPr>
          <w:b/>
          <w:szCs w:val="28"/>
        </w:rPr>
        <w:t>369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0F50E4" w:rsidRPr="000F50E4" w:rsidRDefault="00674C7A" w:rsidP="000F50E4">
      <w:pPr>
        <w:jc w:val="center"/>
        <w:rPr>
          <w:b/>
          <w:sz w:val="28"/>
          <w:szCs w:val="28"/>
        </w:rPr>
      </w:pPr>
      <w:r w:rsidRPr="000F50E4">
        <w:rPr>
          <w:b/>
          <w:sz w:val="28"/>
          <w:szCs w:val="28"/>
        </w:rPr>
        <w:t xml:space="preserve"> </w:t>
      </w:r>
      <w:r w:rsidR="000F50E4" w:rsidRPr="000F50E4">
        <w:rPr>
          <w:b/>
          <w:sz w:val="28"/>
          <w:szCs w:val="28"/>
        </w:rPr>
        <w:t>О внесении изменений  и дополнений в решение Муниципального комитета    № 287 от 28.11.2017 г. «О Бюджете Горноключевского городского поселения Кировского муниципального района на 2018 год»</w:t>
      </w:r>
    </w:p>
    <w:p w:rsidR="000F50E4" w:rsidRPr="000F50E4" w:rsidRDefault="000F50E4" w:rsidP="000F50E4">
      <w:pPr>
        <w:jc w:val="center"/>
        <w:rPr>
          <w:sz w:val="26"/>
          <w:szCs w:val="26"/>
        </w:rPr>
      </w:pPr>
    </w:p>
    <w:p w:rsidR="000F50E4" w:rsidRPr="009A13C2" w:rsidRDefault="000F50E4" w:rsidP="000F50E4">
      <w:pPr>
        <w:jc w:val="right"/>
      </w:pPr>
      <w:r w:rsidRPr="009A13C2">
        <w:t>Принято решением</w:t>
      </w:r>
    </w:p>
    <w:p w:rsidR="000F50E4" w:rsidRPr="009A13C2" w:rsidRDefault="000F50E4" w:rsidP="000F50E4">
      <w:pPr>
        <w:jc w:val="right"/>
      </w:pPr>
      <w:r w:rsidRPr="009A13C2">
        <w:t xml:space="preserve"> Муниципального комитета</w:t>
      </w:r>
    </w:p>
    <w:p w:rsidR="000F50E4" w:rsidRPr="009A13C2" w:rsidRDefault="000F50E4" w:rsidP="000F50E4">
      <w:pPr>
        <w:jc w:val="right"/>
      </w:pPr>
      <w:r w:rsidRPr="009A13C2">
        <w:t xml:space="preserve"> Горноключевского городского</w:t>
      </w:r>
    </w:p>
    <w:p w:rsidR="000F50E4" w:rsidRPr="009A13C2" w:rsidRDefault="000F50E4" w:rsidP="000F50E4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9A13C2">
        <w:rPr>
          <w:sz w:val="24"/>
          <w:szCs w:val="24"/>
        </w:rPr>
        <w:t xml:space="preserve">поселения  №  </w:t>
      </w:r>
      <w:r w:rsidR="00A3293D">
        <w:rPr>
          <w:sz w:val="24"/>
          <w:szCs w:val="24"/>
        </w:rPr>
        <w:t xml:space="preserve">368 </w:t>
      </w:r>
      <w:r w:rsidRPr="009A13C2">
        <w:rPr>
          <w:sz w:val="24"/>
          <w:szCs w:val="24"/>
        </w:rPr>
        <w:t xml:space="preserve">от </w:t>
      </w:r>
      <w:r w:rsidR="009A13C2" w:rsidRPr="009A13C2">
        <w:rPr>
          <w:sz w:val="24"/>
          <w:szCs w:val="24"/>
        </w:rPr>
        <w:t>29</w:t>
      </w:r>
      <w:r w:rsidRPr="009A13C2">
        <w:rPr>
          <w:sz w:val="24"/>
          <w:szCs w:val="24"/>
        </w:rPr>
        <w:t>.11.2018  г.</w:t>
      </w:r>
    </w:p>
    <w:p w:rsidR="000F50E4" w:rsidRPr="000F50E4" w:rsidRDefault="000F50E4" w:rsidP="000F50E4">
      <w:pPr>
        <w:pStyle w:val="a5"/>
        <w:spacing w:before="0" w:line="240" w:lineRule="auto"/>
        <w:ind w:firstLine="0"/>
        <w:jc w:val="left"/>
        <w:rPr>
          <w:b/>
          <w:sz w:val="26"/>
          <w:szCs w:val="26"/>
        </w:rPr>
      </w:pPr>
    </w:p>
    <w:p w:rsidR="000F50E4" w:rsidRPr="000F50E4" w:rsidRDefault="000F50E4" w:rsidP="000F50E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0F50E4">
        <w:rPr>
          <w:sz w:val="26"/>
          <w:szCs w:val="26"/>
        </w:rPr>
        <w:t xml:space="preserve">  </w:t>
      </w:r>
      <w:r w:rsidRPr="000F50E4">
        <w:rPr>
          <w:sz w:val="26"/>
          <w:szCs w:val="26"/>
        </w:rPr>
        <w:tab/>
      </w:r>
      <w:proofErr w:type="gramStart"/>
      <w:r w:rsidRPr="000F50E4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0F50E4" w:rsidRPr="000F50E4" w:rsidRDefault="000F50E4" w:rsidP="000F50E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0F50E4" w:rsidRPr="000F50E4" w:rsidRDefault="000F50E4" w:rsidP="000F50E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0F50E4">
        <w:rPr>
          <w:b/>
          <w:sz w:val="26"/>
          <w:szCs w:val="26"/>
        </w:rPr>
        <w:t>РЕШИЛ:</w:t>
      </w:r>
    </w:p>
    <w:p w:rsidR="000F50E4" w:rsidRPr="000F50E4" w:rsidRDefault="000F50E4" w:rsidP="000F50E4">
      <w:pPr>
        <w:pStyle w:val="a5"/>
        <w:numPr>
          <w:ilvl w:val="0"/>
          <w:numId w:val="6"/>
        </w:numPr>
        <w:spacing w:before="0" w:line="240" w:lineRule="auto"/>
        <w:rPr>
          <w:sz w:val="26"/>
          <w:szCs w:val="26"/>
        </w:rPr>
      </w:pPr>
      <w:r w:rsidRPr="000F50E4">
        <w:rPr>
          <w:sz w:val="26"/>
          <w:szCs w:val="26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767492">
        <w:rPr>
          <w:b/>
          <w:sz w:val="26"/>
          <w:szCs w:val="26"/>
        </w:rPr>
        <w:t>8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491A42">
        <w:rPr>
          <w:sz w:val="26"/>
          <w:szCs w:val="26"/>
        </w:rPr>
        <w:t>31</w:t>
      </w:r>
      <w:r w:rsidR="00AD679C">
        <w:rPr>
          <w:sz w:val="26"/>
          <w:szCs w:val="26"/>
        </w:rPr>
        <w:t> 777,34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F0A3D">
        <w:rPr>
          <w:sz w:val="26"/>
          <w:szCs w:val="26"/>
        </w:rPr>
        <w:t>22 </w:t>
      </w:r>
      <w:r w:rsidR="006E74C5">
        <w:rPr>
          <w:sz w:val="26"/>
          <w:szCs w:val="26"/>
        </w:rPr>
        <w:t>50</w:t>
      </w:r>
      <w:r w:rsidR="00CF0A3D"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AD679C">
        <w:rPr>
          <w:sz w:val="26"/>
          <w:szCs w:val="26"/>
        </w:rPr>
        <w:t>34 025</w:t>
      </w:r>
      <w:r w:rsidR="006E74C5">
        <w:rPr>
          <w:sz w:val="26"/>
          <w:szCs w:val="26"/>
        </w:rPr>
        <w:t>,</w:t>
      </w:r>
      <w:r w:rsidR="00AD679C">
        <w:rPr>
          <w:sz w:val="26"/>
          <w:szCs w:val="26"/>
        </w:rPr>
        <w:t>64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491A42">
        <w:rPr>
          <w:sz w:val="26"/>
          <w:szCs w:val="26"/>
        </w:rPr>
        <w:t>2 248,3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767492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491A42">
        <w:rPr>
          <w:sz w:val="26"/>
          <w:szCs w:val="26"/>
        </w:rPr>
        <w:t>3 160</w:t>
      </w:r>
      <w:r w:rsidR="00767492">
        <w:rPr>
          <w:sz w:val="26"/>
          <w:szCs w:val="26"/>
        </w:rPr>
        <w:t>,0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767492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года в сумме </w:t>
      </w:r>
      <w:r w:rsidR="00491A42">
        <w:rPr>
          <w:sz w:val="26"/>
          <w:szCs w:val="26"/>
        </w:rPr>
        <w:t xml:space="preserve">1 </w:t>
      </w:r>
      <w:r w:rsidR="00AD679C">
        <w:rPr>
          <w:sz w:val="26"/>
          <w:szCs w:val="26"/>
        </w:rPr>
        <w:t>952</w:t>
      </w:r>
      <w:r w:rsidR="00767492">
        <w:rPr>
          <w:sz w:val="26"/>
          <w:szCs w:val="26"/>
        </w:rPr>
        <w:t>,</w:t>
      </w:r>
      <w:r w:rsidR="00AD679C">
        <w:rPr>
          <w:sz w:val="26"/>
          <w:szCs w:val="26"/>
        </w:rPr>
        <w:t>5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491A42">
        <w:rPr>
          <w:sz w:val="26"/>
          <w:szCs w:val="26"/>
        </w:rPr>
        <w:t>304,05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CF0A3D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767492">
        <w:rPr>
          <w:sz w:val="26"/>
          <w:szCs w:val="26"/>
        </w:rPr>
        <w:t>8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CF0A3D">
        <w:rPr>
          <w:sz w:val="26"/>
          <w:szCs w:val="26"/>
        </w:rPr>
        <w:t>8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Default="00DD7897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767492">
        <w:rPr>
          <w:b/>
          <w:sz w:val="26"/>
          <w:szCs w:val="26"/>
        </w:rPr>
        <w:t>8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270FA7">
        <w:rPr>
          <w:sz w:val="26"/>
          <w:szCs w:val="26"/>
        </w:rPr>
        <w:t>234</w:t>
      </w:r>
      <w:r w:rsidR="00BC7227" w:rsidRPr="008F1980">
        <w:rPr>
          <w:sz w:val="26"/>
          <w:szCs w:val="26"/>
        </w:rPr>
        <w:t xml:space="preserve"> </w:t>
      </w:r>
      <w:r w:rsidR="00270FA7">
        <w:rPr>
          <w:sz w:val="26"/>
          <w:szCs w:val="26"/>
        </w:rPr>
        <w:t>1</w:t>
      </w:r>
      <w:r w:rsidR="00BC7227" w:rsidRPr="008F1980">
        <w:rPr>
          <w:sz w:val="26"/>
          <w:szCs w:val="26"/>
        </w:rPr>
        <w:t>00,00  руб.</w:t>
      </w:r>
    </w:p>
    <w:p w:rsidR="00270FA7" w:rsidRDefault="00270FA7" w:rsidP="00BC7227">
      <w:pPr>
        <w:ind w:left="57" w:firstLine="651"/>
        <w:jc w:val="both"/>
        <w:rPr>
          <w:sz w:val="26"/>
          <w:szCs w:val="26"/>
        </w:rPr>
      </w:pPr>
    </w:p>
    <w:p w:rsidR="005C30C9" w:rsidRPr="007F5CBD" w:rsidRDefault="005C30C9" w:rsidP="005C30C9">
      <w:pPr>
        <w:ind w:left="57" w:firstLine="651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5C30C9">
      <w:pPr>
        <w:ind w:left="57" w:firstLine="651"/>
        <w:jc w:val="both"/>
        <w:rPr>
          <w:b/>
          <w:sz w:val="26"/>
          <w:szCs w:val="26"/>
        </w:rPr>
      </w:pPr>
    </w:p>
    <w:p w:rsidR="005C30C9" w:rsidRPr="008F1980" w:rsidRDefault="005C30C9" w:rsidP="005C30C9">
      <w:pPr>
        <w:ind w:left="57" w:firstLine="651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           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>
        <w:rPr>
          <w:sz w:val="26"/>
          <w:szCs w:val="26"/>
        </w:rPr>
        <w:t>8</w:t>
      </w:r>
      <w:r w:rsidRPr="007F5CBD">
        <w:rPr>
          <w:sz w:val="26"/>
          <w:szCs w:val="26"/>
        </w:rPr>
        <w:t xml:space="preserve">  год в размере </w:t>
      </w:r>
      <w:r w:rsidR="00491A42">
        <w:rPr>
          <w:sz w:val="26"/>
          <w:szCs w:val="26"/>
        </w:rPr>
        <w:t>8 598,6</w:t>
      </w:r>
      <w:r w:rsidRPr="007F5CBD">
        <w:rPr>
          <w:sz w:val="26"/>
          <w:szCs w:val="26"/>
        </w:rPr>
        <w:t xml:space="preserve"> тыс. рублей</w:t>
      </w:r>
    </w:p>
    <w:p w:rsidR="005C30C9" w:rsidRDefault="005C30C9" w:rsidP="00BC7227">
      <w:pPr>
        <w:ind w:left="57" w:firstLine="651"/>
        <w:jc w:val="both"/>
        <w:rPr>
          <w:sz w:val="26"/>
          <w:szCs w:val="26"/>
        </w:rPr>
      </w:pPr>
    </w:p>
    <w:p w:rsidR="00270FA7" w:rsidRPr="00270FA7" w:rsidRDefault="00270FA7" w:rsidP="00270FA7">
      <w:pPr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  <w:r w:rsidRPr="00270FA7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9</w:t>
      </w:r>
      <w:r w:rsidRPr="00270FA7">
        <w:rPr>
          <w:b/>
          <w:sz w:val="26"/>
          <w:szCs w:val="26"/>
        </w:rPr>
        <w:t xml:space="preserve">. Индексация оплаты труда </w:t>
      </w:r>
    </w:p>
    <w:p w:rsidR="00270FA7" w:rsidRPr="00270FA7" w:rsidRDefault="00270FA7" w:rsidP="00270FA7">
      <w:pPr>
        <w:jc w:val="both"/>
        <w:rPr>
          <w:b/>
          <w:sz w:val="26"/>
          <w:szCs w:val="26"/>
        </w:rPr>
      </w:pPr>
    </w:p>
    <w:p w:rsidR="00270FA7" w:rsidRPr="00270FA7" w:rsidRDefault="00270FA7" w:rsidP="00270FA7">
      <w:pPr>
        <w:ind w:firstLine="708"/>
        <w:jc w:val="both"/>
        <w:rPr>
          <w:sz w:val="26"/>
          <w:szCs w:val="26"/>
        </w:rPr>
      </w:pPr>
      <w:r w:rsidRPr="00270FA7">
        <w:rPr>
          <w:b/>
          <w:sz w:val="26"/>
          <w:szCs w:val="26"/>
        </w:rPr>
        <w:tab/>
      </w:r>
      <w:r w:rsidRPr="00270FA7">
        <w:rPr>
          <w:sz w:val="26"/>
          <w:szCs w:val="26"/>
        </w:rPr>
        <w:t>Провести с 1 января 201</w:t>
      </w:r>
      <w:r>
        <w:rPr>
          <w:sz w:val="26"/>
          <w:szCs w:val="26"/>
        </w:rPr>
        <w:t>8</w:t>
      </w:r>
      <w:r w:rsidRPr="00270FA7">
        <w:rPr>
          <w:sz w:val="26"/>
          <w:szCs w:val="26"/>
        </w:rPr>
        <w:t xml:space="preserve"> года индексацию заработной платы путем увеличения на </w:t>
      </w:r>
      <w:r>
        <w:rPr>
          <w:sz w:val="26"/>
          <w:szCs w:val="26"/>
        </w:rPr>
        <w:t>4</w:t>
      </w:r>
      <w:r w:rsidRPr="00270FA7">
        <w:rPr>
          <w:sz w:val="26"/>
          <w:szCs w:val="26"/>
        </w:rPr>
        <w:t>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8F1980" w:rsidRDefault="00270FA7" w:rsidP="005C30C9">
      <w:pPr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A13C2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0F50E4" w:rsidRPr="00E66DEC" w:rsidRDefault="00DD7897" w:rsidP="009A13C2">
      <w:pPr>
        <w:ind w:left="284"/>
        <w:rPr>
          <w:sz w:val="22"/>
          <w:szCs w:val="22"/>
        </w:rPr>
      </w:pPr>
      <w:r w:rsidRPr="008F1980">
        <w:rPr>
          <w:sz w:val="26"/>
          <w:szCs w:val="26"/>
        </w:rPr>
        <w:t xml:space="preserve">Городского </w:t>
      </w:r>
      <w:r w:rsidRPr="00E66DEC">
        <w:rPr>
          <w:sz w:val="28"/>
          <w:szCs w:val="28"/>
        </w:rPr>
        <w:t xml:space="preserve">поселения                                                       </w:t>
      </w:r>
      <w:r w:rsidR="009A13C2" w:rsidRPr="00E66DEC">
        <w:rPr>
          <w:sz w:val="28"/>
          <w:szCs w:val="28"/>
        </w:rPr>
        <w:t xml:space="preserve">                Ф.И. Сальников</w:t>
      </w:r>
    </w:p>
    <w:p w:rsidR="000F50E4" w:rsidRPr="00E66DEC" w:rsidRDefault="000F50E4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0F50E4" w:rsidRPr="00E66DEC" w:rsidRDefault="000F50E4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0F50E4" w:rsidRPr="00E66DEC" w:rsidTr="000F50E4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Приложение № 1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66DEC">
              <w:rPr>
                <w:rFonts w:eastAsia="Times New Roman"/>
                <w:sz w:val="22"/>
                <w:szCs w:val="22"/>
              </w:rPr>
              <w:br/>
            </w:r>
            <w:r w:rsidR="00A3293D"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="00A3293D"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</w:p>
        </w:tc>
      </w:tr>
      <w:tr w:rsidR="000F50E4" w:rsidRPr="00E66DEC" w:rsidTr="000F50E4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0F50E4" w:rsidRPr="00E66DEC" w:rsidTr="000F50E4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50E4" w:rsidRPr="00E66DEC" w:rsidTr="000F50E4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0F50E4" w:rsidRPr="00E66DEC" w:rsidTr="000F50E4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0F50E4" w:rsidRPr="00E66DEC" w:rsidTr="000F50E4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50E4" w:rsidRPr="00E66DEC" w:rsidTr="000F50E4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50E4" w:rsidRPr="00E66DEC" w:rsidTr="000F50E4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0F50E4" w:rsidRPr="00E66DEC" w:rsidTr="000F50E4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E66DEC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0F50E4" w:rsidRPr="00E66DEC" w:rsidTr="000F50E4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F50E4" w:rsidRPr="00E66DEC" w:rsidTr="000F50E4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0F50E4" w:rsidRPr="00E66DEC" w:rsidTr="000F50E4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50E4" w:rsidRPr="00E66DEC" w:rsidTr="000F50E4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0F50E4" w:rsidRPr="00E66DEC" w:rsidTr="000F50E4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0F50E4" w:rsidRPr="00E66DEC" w:rsidTr="000F50E4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0F50E4" w:rsidRPr="00E66DEC" w:rsidTr="000F50E4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F50E4" w:rsidRPr="00E66DEC" w:rsidTr="000F50E4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F50E4" w:rsidRPr="00E66DEC" w:rsidTr="000F50E4">
        <w:trPr>
          <w:trHeight w:val="153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F50E4" w:rsidRPr="00E66DEC" w:rsidTr="000F50E4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20705030130000180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0F50E4" w:rsidRPr="00E66DEC" w:rsidTr="000F50E4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50E4" w:rsidRPr="00E66DEC" w:rsidTr="000F50E4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F50E4" w:rsidRPr="00E66DEC" w:rsidRDefault="000F50E4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1709" w:type="dxa"/>
        <w:tblInd w:w="93" w:type="dxa"/>
        <w:tblLook w:val="04A0" w:firstRow="1" w:lastRow="0" w:firstColumn="1" w:lastColumn="0" w:noHBand="0" w:noVBand="1"/>
      </w:tblPr>
      <w:tblGrid>
        <w:gridCol w:w="1277"/>
        <w:gridCol w:w="483"/>
        <w:gridCol w:w="22"/>
        <w:gridCol w:w="958"/>
        <w:gridCol w:w="1457"/>
        <w:gridCol w:w="125"/>
        <w:gridCol w:w="88"/>
        <w:gridCol w:w="370"/>
        <w:gridCol w:w="338"/>
        <w:gridCol w:w="552"/>
        <w:gridCol w:w="441"/>
        <w:gridCol w:w="332"/>
        <w:gridCol w:w="1227"/>
        <w:gridCol w:w="113"/>
        <w:gridCol w:w="29"/>
        <w:gridCol w:w="631"/>
        <w:gridCol w:w="153"/>
        <w:gridCol w:w="350"/>
        <w:gridCol w:w="992"/>
        <w:gridCol w:w="154"/>
        <w:gridCol w:w="111"/>
        <w:gridCol w:w="23"/>
        <w:gridCol w:w="30"/>
        <w:gridCol w:w="107"/>
        <w:gridCol w:w="76"/>
        <w:gridCol w:w="90"/>
        <w:gridCol w:w="523"/>
        <w:gridCol w:w="164"/>
        <w:gridCol w:w="493"/>
      </w:tblGrid>
      <w:tr w:rsidR="000F50E4" w:rsidRPr="00E66DEC" w:rsidTr="00E66DEC">
        <w:trPr>
          <w:gridAfter w:val="2"/>
          <w:wAfter w:w="657" w:type="dxa"/>
          <w:trHeight w:val="900"/>
        </w:trPr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C2" w:rsidRPr="00E66DEC" w:rsidRDefault="000F50E4" w:rsidP="009A13C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9A13C2" w:rsidRPr="00E66DEC">
              <w:rPr>
                <w:rFonts w:eastAsia="Times New Roman"/>
                <w:sz w:val="22"/>
                <w:szCs w:val="22"/>
              </w:rPr>
              <w:t>2</w:t>
            </w:r>
          </w:p>
          <w:p w:rsidR="00A3293D" w:rsidRPr="00E66DEC" w:rsidRDefault="000F50E4" w:rsidP="009A13C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9A13C2" w:rsidRPr="00E66DEC" w:rsidRDefault="000F50E4" w:rsidP="009A13C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0F50E4" w:rsidRPr="00E66DEC" w:rsidRDefault="00A3293D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  <w:r w:rsidR="000F50E4" w:rsidRPr="00E66DE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110"/>
        </w:trPr>
        <w:tc>
          <w:tcPr>
            <w:tcW w:w="10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02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00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156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E66DE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E66DEC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500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210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213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15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15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15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15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322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1411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9A13C2" w:rsidRPr="00E66DEC">
              <w:rPr>
                <w:rFonts w:eastAsia="Times New Roman"/>
                <w:sz w:val="22"/>
                <w:szCs w:val="22"/>
              </w:rPr>
              <w:t xml:space="preserve"> </w:t>
            </w:r>
            <w:r w:rsidRPr="00E66DEC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945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00"/>
        </w:trPr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2"/>
          <w:wAfter w:w="657" w:type="dxa"/>
          <w:trHeight w:val="300"/>
        </w:trPr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Приложение № 3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66DEC">
              <w:rPr>
                <w:rFonts w:eastAsia="Times New Roman"/>
                <w:sz w:val="22"/>
                <w:szCs w:val="22"/>
              </w:rPr>
              <w:br/>
            </w:r>
            <w:r w:rsidR="00A3293D"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="00A3293D"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  <w:r w:rsidRPr="00E66DE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37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115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E66DEC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7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8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E66DEC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E66DEC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7"/>
          <w:wAfter w:w="1483" w:type="dxa"/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615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C2" w:rsidRPr="00E66DEC" w:rsidRDefault="000F50E4" w:rsidP="009A13C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</w:t>
            </w:r>
            <w:r w:rsidR="009A13C2" w:rsidRPr="00E66DEC">
              <w:rPr>
                <w:rFonts w:eastAsia="Times New Roman"/>
                <w:sz w:val="22"/>
                <w:szCs w:val="22"/>
              </w:rPr>
              <w:t>4</w:t>
            </w:r>
          </w:p>
          <w:p w:rsidR="009A13C2" w:rsidRPr="00E66DEC" w:rsidRDefault="009A13C2" w:rsidP="009A13C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к решению  </w:t>
            </w:r>
            <w:r w:rsidR="000F50E4" w:rsidRPr="00E66DEC">
              <w:rPr>
                <w:rFonts w:eastAsia="Times New Roman"/>
                <w:sz w:val="22"/>
                <w:szCs w:val="22"/>
              </w:rPr>
              <w:t xml:space="preserve">Муниципального комитета </w:t>
            </w:r>
          </w:p>
          <w:p w:rsidR="009A13C2" w:rsidRPr="00E66DEC" w:rsidRDefault="000F50E4" w:rsidP="009A13C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0F50E4" w:rsidRPr="00E66DEC" w:rsidRDefault="00A3293D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  <w:r w:rsidR="000F50E4" w:rsidRPr="00E66DE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15"/>
        </w:trPr>
        <w:tc>
          <w:tcPr>
            <w:tcW w:w="103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600"/>
        </w:trPr>
        <w:tc>
          <w:tcPr>
            <w:tcW w:w="103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863"/>
        </w:trPr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8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. 2018г.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31 777,34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15 381,00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6 900,30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555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2 550,70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9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323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9A13C2" w:rsidRPr="00E66DEC">
              <w:rPr>
                <w:rFonts w:eastAsia="Times New Roman"/>
                <w:sz w:val="22"/>
                <w:szCs w:val="22"/>
              </w:rPr>
              <w:t xml:space="preserve"> </w:t>
            </w:r>
            <w:r w:rsidRPr="00E66DEC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9A13C2" w:rsidRPr="00E66DEC">
              <w:rPr>
                <w:rFonts w:eastAsia="Times New Roman"/>
                <w:sz w:val="22"/>
                <w:szCs w:val="22"/>
              </w:rPr>
              <w:t xml:space="preserve"> </w:t>
            </w:r>
            <w:r w:rsidRPr="00E66DEC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4 800,00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286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9A13C2" w:rsidRPr="00E66DEC">
              <w:rPr>
                <w:rFonts w:eastAsia="Times New Roman"/>
                <w:sz w:val="22"/>
                <w:szCs w:val="22"/>
              </w:rPr>
              <w:t xml:space="preserve"> </w:t>
            </w:r>
            <w:r w:rsidRPr="00E66DEC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9A13C2" w:rsidRPr="00E66DEC">
              <w:rPr>
                <w:rFonts w:eastAsia="Times New Roman"/>
                <w:sz w:val="22"/>
                <w:szCs w:val="22"/>
              </w:rPr>
              <w:t xml:space="preserve"> </w:t>
            </w:r>
            <w:r w:rsidRPr="00E66DEC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106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7 119,00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9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169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174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319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775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998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254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987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8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36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11705050130000180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599,00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9 277,34076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6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695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253,32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E66DEC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7025,16076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530"/>
        </w:trPr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</w:t>
            </w:r>
            <w:r w:rsidR="00E66DEC" w:rsidRPr="00E66DEC">
              <w:rPr>
                <w:rFonts w:eastAsia="Times New Roman"/>
                <w:sz w:val="22"/>
                <w:szCs w:val="22"/>
              </w:rPr>
              <w:t>венности, предназначенных для з</w:t>
            </w:r>
            <w:r w:rsidRPr="00E66DEC">
              <w:rPr>
                <w:rFonts w:eastAsia="Times New Roman"/>
                <w:sz w:val="22"/>
                <w:szCs w:val="22"/>
              </w:rPr>
              <w:t>ащиты от наводнений в результате прохождения паводков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3286,17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020"/>
        </w:trPr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</w:t>
            </w: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кра</w:t>
            </w:r>
            <w:proofErr w:type="spellEnd"/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3738,99076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600"/>
        </w:trPr>
        <w:tc>
          <w:tcPr>
            <w:tcW w:w="2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1161,86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1393"/>
        </w:trPr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trHeight w:val="3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515"/>
        </w:trPr>
        <w:tc>
          <w:tcPr>
            <w:tcW w:w="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Приложение № 5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66DEC">
              <w:rPr>
                <w:rFonts w:eastAsia="Times New Roman"/>
                <w:sz w:val="22"/>
                <w:szCs w:val="22"/>
              </w:rPr>
              <w:br/>
            </w:r>
            <w:r w:rsidR="00A3293D"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="00A3293D"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  <w:r w:rsidRPr="00E66DE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410"/>
        </w:trPr>
        <w:tc>
          <w:tcPr>
            <w:tcW w:w="1025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863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4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359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451"/>
        </w:trPr>
        <w:tc>
          <w:tcPr>
            <w:tcW w:w="511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155"/>
        </w:trPr>
        <w:tc>
          <w:tcPr>
            <w:tcW w:w="51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2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189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7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891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458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7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1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170,70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421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57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3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27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82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13 706,21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096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840"/>
        </w:trPr>
        <w:tc>
          <w:tcPr>
            <w:tcW w:w="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E66DEC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07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8 598,59845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7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732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2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2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5 273,10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687,10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8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687,10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687,10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4 586,00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716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9A13C2" w:rsidRPr="00E66DEC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4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06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E66DEC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4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63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37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8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8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74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E66DEC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E66DEC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8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8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2 784,70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986,30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98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1 798,40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457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25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3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022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1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1042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555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9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6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34 025,64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300"/>
        </w:trPr>
        <w:tc>
          <w:tcPr>
            <w:tcW w:w="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3"/>
          <w:wAfter w:w="1180" w:type="dxa"/>
          <w:trHeight w:val="80"/>
        </w:trPr>
        <w:tc>
          <w:tcPr>
            <w:tcW w:w="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515"/>
        </w:trPr>
        <w:tc>
          <w:tcPr>
            <w:tcW w:w="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Приложение № 6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66DEC">
              <w:rPr>
                <w:rFonts w:eastAsia="Times New Roman"/>
                <w:sz w:val="22"/>
                <w:szCs w:val="22"/>
              </w:rPr>
              <w:br/>
            </w:r>
            <w:r w:rsidR="00A3293D"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="00A3293D"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  <w:r w:rsidRPr="00E66DE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410"/>
        </w:trPr>
        <w:tc>
          <w:tcPr>
            <w:tcW w:w="1025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9A13C2" w:rsidRPr="00E66DEC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на 2018 по разделам,  подразделам, целевым статьям (муниципальным программам поселения и непрограммным направ</w:t>
            </w:r>
            <w:r w:rsidR="009A13C2" w:rsidRPr="00E66DEC">
              <w:rPr>
                <w:rFonts w:eastAsia="Times New Roman"/>
                <w:b/>
                <w:bCs/>
                <w:sz w:val="28"/>
                <w:szCs w:val="28"/>
              </w:rPr>
              <w:t>лениям деятельности), группам (</w:t>
            </w: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863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4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399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155"/>
        </w:trPr>
        <w:tc>
          <w:tcPr>
            <w:tcW w:w="47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158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2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5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353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7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7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7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513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36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3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497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5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82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13 706,21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E66DEC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5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8 598,59845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7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5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8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5 273,10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687,10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687,10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687,10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4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4 586,00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4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66DEC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E66DEC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29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5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89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8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8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63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8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8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E66DEC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E66DEC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2 784,70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986,30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5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1 798,40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55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49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5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607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15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69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36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12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9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6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6DEC">
              <w:rPr>
                <w:rFonts w:eastAsia="Times New Roman"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34 006,42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1"/>
          <w:wAfter w:w="493" w:type="dxa"/>
          <w:trHeight w:val="300"/>
        </w:trPr>
        <w:tc>
          <w:tcPr>
            <w:tcW w:w="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151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E66DEC" w:rsidRDefault="000F50E4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Приложение № 7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66DEC">
              <w:rPr>
                <w:rFonts w:eastAsia="Times New Roman"/>
                <w:sz w:val="22"/>
                <w:szCs w:val="22"/>
              </w:rPr>
              <w:br/>
            </w:r>
            <w:r w:rsidR="00A3293D" w:rsidRPr="00E66DEC">
              <w:rPr>
                <w:rFonts w:eastAsia="Times New Roman"/>
                <w:sz w:val="22"/>
                <w:szCs w:val="22"/>
              </w:rPr>
              <w:t>№  36</w:t>
            </w:r>
            <w:r w:rsidR="00E66DEC" w:rsidRPr="00E66DEC">
              <w:rPr>
                <w:rFonts w:eastAsia="Times New Roman"/>
                <w:sz w:val="22"/>
                <w:szCs w:val="22"/>
              </w:rPr>
              <w:t>9</w:t>
            </w:r>
            <w:r w:rsidR="00A3293D" w:rsidRPr="00E66DEC">
              <w:rPr>
                <w:rFonts w:eastAsia="Times New Roman"/>
                <w:sz w:val="22"/>
                <w:szCs w:val="22"/>
              </w:rPr>
              <w:t xml:space="preserve"> от 29.11.2018  г.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1350"/>
        </w:trPr>
        <w:tc>
          <w:tcPr>
            <w:tcW w:w="102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DEC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6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3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686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66DEC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1182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E66DEC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E66DEC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E66DEC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6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94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2 784 700,00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1106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126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4 107 712,50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9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lastRenderedPageBreak/>
              <w:t>0700000000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5 698 598,45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9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 xml:space="preserve">              10 560,00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E66DEC">
        <w:trPr>
          <w:gridAfter w:val="4"/>
          <w:wAfter w:w="1270" w:type="dxa"/>
          <w:trHeight w:val="300"/>
        </w:trPr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13 551 010,95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E66DEC">
        <w:trPr>
          <w:gridAfter w:val="4"/>
          <w:wAfter w:w="1270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E66DEC">
        <w:trPr>
          <w:gridAfter w:val="4"/>
          <w:wAfter w:w="1270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F50E4" w:rsidRPr="009A13C2" w:rsidRDefault="000F50E4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954"/>
        <w:gridCol w:w="953"/>
        <w:gridCol w:w="693"/>
        <w:gridCol w:w="260"/>
        <w:gridCol w:w="953"/>
        <w:gridCol w:w="1080"/>
        <w:gridCol w:w="271"/>
        <w:gridCol w:w="1372"/>
        <w:gridCol w:w="992"/>
        <w:gridCol w:w="2126"/>
        <w:gridCol w:w="142"/>
        <w:gridCol w:w="98"/>
        <w:gridCol w:w="201"/>
      </w:tblGrid>
      <w:tr w:rsidR="000F50E4" w:rsidRPr="009A13C2" w:rsidTr="009A13C2">
        <w:trPr>
          <w:trHeight w:val="93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A3293D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0F50E4" w:rsidRPr="009A13C2" w:rsidRDefault="00A3293D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293D">
              <w:rPr>
                <w:rFonts w:eastAsia="Times New Roman"/>
                <w:sz w:val="22"/>
                <w:szCs w:val="22"/>
              </w:rPr>
              <w:t>№  36</w:t>
            </w:r>
            <w:r w:rsidR="00E66DEC">
              <w:rPr>
                <w:rFonts w:eastAsia="Times New Roman"/>
                <w:sz w:val="22"/>
                <w:szCs w:val="22"/>
              </w:rPr>
              <w:t>9</w:t>
            </w:r>
            <w:r w:rsidRPr="00A3293D">
              <w:rPr>
                <w:rFonts w:eastAsia="Times New Roman"/>
                <w:sz w:val="22"/>
                <w:szCs w:val="22"/>
              </w:rPr>
              <w:t xml:space="preserve"> от 29.11.2018  г.</w:t>
            </w:r>
            <w:r w:rsidR="000F50E4" w:rsidRPr="009A13C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9A13C2">
        <w:trPr>
          <w:trHeight w:val="108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A13C2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2018 год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9A13C2">
        <w:trPr>
          <w:trHeight w:val="34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9A13C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9A13C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9A13C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9A13C2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94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Сумма на 2017 год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63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1500,00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94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E66DE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E66DEC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2770,00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-1 270,00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63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45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63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70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DEC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E66DEC" w:rsidTr="009A13C2">
        <w:trPr>
          <w:trHeight w:val="94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E66DEC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66DEC">
              <w:rPr>
                <w:rFonts w:eastAsia="Times New Roman"/>
                <w:b/>
                <w:bCs/>
                <w:sz w:val="22"/>
                <w:szCs w:val="22"/>
              </w:rPr>
              <w:t>2248,30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E66DEC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9A13C2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9A13C2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3D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                             </w:t>
            </w: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293D" w:rsidRDefault="00A3293D" w:rsidP="00E66DEC">
            <w:pPr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  <w:p w:rsidR="00A3293D" w:rsidRDefault="00A3293D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F50E4" w:rsidRP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  Приложение № 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00"/>
        </w:trPr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00"/>
        </w:trPr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A3293D" w:rsidP="00E66DE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293D">
              <w:rPr>
                <w:rFonts w:eastAsia="Times New Roman"/>
                <w:sz w:val="22"/>
                <w:szCs w:val="22"/>
              </w:rPr>
              <w:t>№  36</w:t>
            </w:r>
            <w:r w:rsidR="00E66DEC">
              <w:rPr>
                <w:rFonts w:eastAsia="Times New Roman"/>
                <w:sz w:val="22"/>
                <w:szCs w:val="22"/>
              </w:rPr>
              <w:t>9</w:t>
            </w:r>
            <w:r w:rsidRPr="00A3293D">
              <w:rPr>
                <w:rFonts w:eastAsia="Times New Roman"/>
                <w:sz w:val="22"/>
                <w:szCs w:val="22"/>
              </w:rPr>
              <w:t xml:space="preserve"> от 29.11.2018  г.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4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133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3C2" w:rsidRDefault="009A13C2" w:rsidP="00A3293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A13C2" w:rsidRDefault="009A13C2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F50E4" w:rsidRPr="009A13C2" w:rsidRDefault="000F50E4" w:rsidP="000F50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A13C2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  <w:r w:rsidRPr="009A13C2">
              <w:rPr>
                <w:rFonts w:eastAsia="Times New Roman"/>
                <w:b/>
                <w:bCs/>
                <w:sz w:val="28"/>
                <w:szCs w:val="28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9A13C2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 2018 год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E4" w:rsidRPr="009A13C2" w:rsidRDefault="000F50E4" w:rsidP="000F50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(тыс. руб.)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15"/>
        </w:trPr>
        <w:tc>
          <w:tcPr>
            <w:tcW w:w="6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A13C2">
              <w:rPr>
                <w:rFonts w:eastAsia="Times New Roman"/>
                <w:b/>
                <w:bCs/>
                <w:sz w:val="22"/>
                <w:szCs w:val="22"/>
              </w:rPr>
              <w:t>Объем средств на 2018 год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780"/>
        </w:trPr>
        <w:tc>
          <w:tcPr>
            <w:tcW w:w="6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585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9A13C2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9A13C2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1 500,000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15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2 770,000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90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-1 270,000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E66DEC">
        <w:trPr>
          <w:gridAfter w:val="1"/>
          <w:wAfter w:w="201" w:type="dxa"/>
          <w:trHeight w:val="711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90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45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90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A13C2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A13C2">
              <w:rPr>
                <w:rFonts w:eastAsia="Times New Roman"/>
                <w:b/>
                <w:bCs/>
                <w:sz w:val="22"/>
                <w:szCs w:val="22"/>
              </w:rPr>
              <w:t>1 500,000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375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2 770,000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405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4" w:rsidRPr="009A13C2" w:rsidRDefault="000F50E4" w:rsidP="000F50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13C2">
              <w:rPr>
                <w:rFonts w:eastAsia="Times New Roman"/>
                <w:sz w:val="22"/>
                <w:szCs w:val="22"/>
              </w:rPr>
              <w:t>-1 270,000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50E4" w:rsidRPr="009A13C2" w:rsidTr="009A13C2">
        <w:trPr>
          <w:gridAfter w:val="1"/>
          <w:wAfter w:w="201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E4" w:rsidRPr="009A13C2" w:rsidRDefault="000F50E4" w:rsidP="000F50E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50E4" w:rsidRPr="009A13C2" w:rsidRDefault="000F50E4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0F50E4" w:rsidRPr="009A13C2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4D" w:rsidRDefault="007A344D" w:rsidP="00CE11FB">
      <w:r>
        <w:separator/>
      </w:r>
    </w:p>
  </w:endnote>
  <w:endnote w:type="continuationSeparator" w:id="0">
    <w:p w:rsidR="007A344D" w:rsidRDefault="007A344D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4D" w:rsidRDefault="007A344D" w:rsidP="00CE11FB">
      <w:r>
        <w:separator/>
      </w:r>
    </w:p>
  </w:footnote>
  <w:footnote w:type="continuationSeparator" w:id="0">
    <w:p w:rsidR="007A344D" w:rsidRDefault="007A344D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07CA6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4C4E"/>
    <w:rsid w:val="000B7E94"/>
    <w:rsid w:val="000D0650"/>
    <w:rsid w:val="000D34E4"/>
    <w:rsid w:val="000E19F6"/>
    <w:rsid w:val="000E4B93"/>
    <w:rsid w:val="000E7186"/>
    <w:rsid w:val="000F0372"/>
    <w:rsid w:val="000F2732"/>
    <w:rsid w:val="000F50E4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1A42"/>
    <w:rsid w:val="00492DEA"/>
    <w:rsid w:val="0049651A"/>
    <w:rsid w:val="004971ED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A344D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3C2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3293D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679C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0E23"/>
    <w:rsid w:val="00C11C7C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6DEC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F044-197D-410E-BD20-08B3519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7770</Words>
  <Characters>44290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20</cp:revision>
  <cp:lastPrinted>2018-11-27T05:43:00Z</cp:lastPrinted>
  <dcterms:created xsi:type="dcterms:W3CDTF">2017-09-22T04:58:00Z</dcterms:created>
  <dcterms:modified xsi:type="dcterms:W3CDTF">2018-11-30T04:05:00Z</dcterms:modified>
</cp:coreProperties>
</file>